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АДМИНИСТРАЦИЯ</w:t>
      </w:r>
    </w:p>
    <w:p w:rsidR="004B6112" w:rsidRPr="0044662C" w:rsidRDefault="008C48F3" w:rsidP="0044662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АЛЕКСЕЕВСКОГО</w:t>
      </w:r>
      <w:r w:rsidR="004B6112" w:rsidRPr="0044662C">
        <w:rPr>
          <w:rFonts w:ascii="Times New Roman" w:eastAsia="Times New Roman" w:hAnsi="Times New Roman" w:cs="Times New Roman"/>
          <w:color w:val="auto"/>
          <w:sz w:val="28"/>
          <w:szCs w:val="28"/>
          <w:lang w:bidi="ar-SA"/>
        </w:rPr>
        <w:t xml:space="preserve"> СЕЛЬСКОГО ПОСЕЛЕНИЯ</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ГРИБАНОВСКОГО МУНИЦИПАЛЬНОГО РАЙОНА</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ВОРОНЕЖСКОЙ ОБЛАСТИ</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4B6112" w:rsidP="0044662C">
      <w:pPr>
        <w:widowControl/>
        <w:tabs>
          <w:tab w:val="left" w:pos="1172"/>
        </w:tabs>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«___» ______________ 2023 г. № ____</w:t>
      </w:r>
    </w:p>
    <w:p w:rsidR="004B6112" w:rsidRPr="0044662C" w:rsidRDefault="004B6112" w:rsidP="0044662C">
      <w:pPr>
        <w:widowControl/>
        <w:rPr>
          <w:rFonts w:ascii="Times New Roman" w:eastAsia="Times New Roman" w:hAnsi="Times New Roman" w:cs="Times New Roman"/>
          <w:color w:val="auto"/>
          <w:sz w:val="28"/>
          <w:szCs w:val="28"/>
          <w:lang w:bidi="ar-SA"/>
        </w:rPr>
      </w:pPr>
      <w:proofErr w:type="gramStart"/>
      <w:r w:rsidRPr="0044662C">
        <w:rPr>
          <w:rFonts w:ascii="Times New Roman" w:eastAsia="Times New Roman" w:hAnsi="Times New Roman" w:cs="Times New Roman"/>
          <w:color w:val="auto"/>
          <w:sz w:val="28"/>
          <w:szCs w:val="28"/>
          <w:lang w:bidi="ar-SA"/>
        </w:rPr>
        <w:t>с</w:t>
      </w:r>
      <w:proofErr w:type="gramEnd"/>
      <w:r w:rsidRPr="0044662C">
        <w:rPr>
          <w:rFonts w:ascii="Times New Roman" w:eastAsia="Times New Roman" w:hAnsi="Times New Roman" w:cs="Times New Roman"/>
          <w:color w:val="auto"/>
          <w:sz w:val="28"/>
          <w:szCs w:val="28"/>
          <w:lang w:bidi="ar-SA"/>
        </w:rPr>
        <w:t xml:space="preserve">. </w:t>
      </w:r>
      <w:r w:rsidR="008C48F3">
        <w:rPr>
          <w:rFonts w:ascii="Times New Roman" w:eastAsia="Times New Roman" w:hAnsi="Times New Roman" w:cs="Times New Roman"/>
          <w:color w:val="auto"/>
          <w:sz w:val="28"/>
          <w:szCs w:val="28"/>
          <w:lang w:bidi="ar-SA"/>
        </w:rPr>
        <w:t>Алексеевка</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8C48F3">
        <w:rPr>
          <w:rFonts w:ascii="Times New Roman" w:hAnsi="Times New Roman" w:cs="Times New Roman"/>
          <w:color w:val="auto"/>
          <w:sz w:val="28"/>
          <w:szCs w:val="28"/>
        </w:rPr>
        <w:t>Алексеевского</w:t>
      </w:r>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C48F3">
        <w:t>Алексеевского</w:t>
      </w:r>
      <w:r w:rsidR="00BE24B8" w:rsidRPr="0044662C">
        <w:t xml:space="preserve"> 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8C48F3">
        <w:rPr>
          <w:rFonts w:ascii="Times New Roman" w:hAnsi="Times New Roman" w:cs="Times New Roman"/>
          <w:color w:val="auto"/>
          <w:sz w:val="28"/>
          <w:szCs w:val="28"/>
        </w:rPr>
        <w:t>Алексеевского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8C48F3">
        <w:rPr>
          <w:rFonts w:ascii="Times New Roman" w:hAnsi="Times New Roman" w:cs="Times New Roman"/>
          <w:color w:val="auto"/>
          <w:sz w:val="28"/>
          <w:szCs w:val="28"/>
        </w:rPr>
        <w:t>Алексеевского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8C48F3" w:rsidP="0044662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от «27» июня</w:t>
      </w:r>
      <w:r w:rsidR="006A55A5" w:rsidRPr="0044662C">
        <w:rPr>
          <w:rFonts w:ascii="Times New Roman" w:hAnsi="Times New Roman" w:cs="Times New Roman"/>
          <w:b w:val="0"/>
          <w:sz w:val="28"/>
          <w:szCs w:val="28"/>
        </w:rPr>
        <w:t xml:space="preserve"> </w:t>
      </w:r>
      <w:r w:rsidR="00B557D6">
        <w:rPr>
          <w:rFonts w:ascii="Times New Roman" w:hAnsi="Times New Roman" w:cs="Times New Roman"/>
          <w:b w:val="0"/>
          <w:sz w:val="28"/>
          <w:szCs w:val="28"/>
        </w:rPr>
        <w:t xml:space="preserve">2016 </w:t>
      </w:r>
      <w:r>
        <w:rPr>
          <w:rFonts w:ascii="Times New Roman" w:hAnsi="Times New Roman" w:cs="Times New Roman"/>
          <w:b w:val="0"/>
          <w:sz w:val="28"/>
          <w:szCs w:val="28"/>
        </w:rPr>
        <w:t>г. № 45</w:t>
      </w:r>
      <w:r w:rsidR="006A55A5"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r w:rsidRPr="008C48F3">
        <w:rPr>
          <w:rFonts w:ascii="Times New Roman" w:hAnsi="Times New Roman" w:cs="Times New Roman"/>
          <w:b w:val="0"/>
          <w:sz w:val="28"/>
          <w:szCs w:val="28"/>
        </w:rPr>
        <w:t>Алексеевского</w:t>
      </w:r>
      <w:r w:rsidR="00BE24B8" w:rsidRPr="00BE24B8">
        <w:rPr>
          <w:rFonts w:ascii="Times New Roman" w:eastAsia="SimSun" w:hAnsi="Times New Roman" w:cs="Times New Roman"/>
          <w:b w:val="0"/>
          <w:bCs/>
          <w:kern w:val="1"/>
          <w:sz w:val="28"/>
          <w:szCs w:val="28"/>
          <w:lang w:eastAsia="hi-IN" w:bidi="hi-IN"/>
        </w:rPr>
        <w:t xml:space="preserve">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006A55A5" w:rsidRPr="0044662C">
        <w:rPr>
          <w:rFonts w:ascii="Times New Roman" w:hAnsi="Times New Roman" w:cs="Times New Roman"/>
          <w:b w:val="0"/>
          <w:sz w:val="28"/>
          <w:szCs w:val="28"/>
        </w:rPr>
        <w:t>»;</w:t>
      </w:r>
    </w:p>
    <w:p w:rsidR="00BE24B8" w:rsidRPr="0044662C" w:rsidRDefault="008C48F3" w:rsidP="0044662C">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«05» февраля</w:t>
      </w:r>
      <w:r w:rsidR="00BE24B8" w:rsidRPr="0044662C">
        <w:rPr>
          <w:rFonts w:ascii="Times New Roman" w:hAnsi="Times New Roman" w:cs="Times New Roman"/>
          <w:b w:val="0"/>
          <w:sz w:val="28"/>
          <w:szCs w:val="28"/>
        </w:rPr>
        <w:t xml:space="preserve"> 2018 </w:t>
      </w:r>
      <w:r>
        <w:rPr>
          <w:rFonts w:ascii="Times New Roman" w:hAnsi="Times New Roman" w:cs="Times New Roman"/>
          <w:b w:val="0"/>
          <w:sz w:val="28"/>
          <w:szCs w:val="28"/>
        </w:rPr>
        <w:t>г. № 13</w:t>
      </w:r>
      <w:r w:rsidR="006A55A5"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r w:rsidRPr="008C48F3">
        <w:rPr>
          <w:rFonts w:ascii="Times New Roman" w:hAnsi="Times New Roman" w:cs="Times New Roman"/>
          <w:b w:val="0"/>
          <w:sz w:val="28"/>
          <w:szCs w:val="28"/>
        </w:rPr>
        <w:t>Алексеевского</w:t>
      </w:r>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r w:rsidR="008C48F3">
        <w:rPr>
          <w:rFonts w:ascii="Times New Roman" w:hAnsi="Times New Roman" w:cs="Times New Roman"/>
          <w:color w:val="auto"/>
          <w:sz w:val="28"/>
          <w:szCs w:val="28"/>
        </w:rPr>
        <w:t>Алексеевского</w:t>
      </w:r>
      <w:r w:rsidRPr="00BC5FCD">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8C48F3">
        <w:rPr>
          <w:rFonts w:ascii="Times New Roman" w:hAnsi="Times New Roman" w:cs="Times New Roman"/>
          <w:color w:val="auto"/>
          <w:sz w:val="28"/>
          <w:szCs w:val="28"/>
        </w:rPr>
        <w:t>Алексеевского</w:t>
      </w:r>
      <w:r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tblPr>
      <w:tblGrid>
        <w:gridCol w:w="3282"/>
        <w:gridCol w:w="3282"/>
        <w:gridCol w:w="3284"/>
      </w:tblGrid>
      <w:tr w:rsidR="0044662C" w:rsidRPr="00BC5FCD" w:rsidTr="00B557D6">
        <w:tc>
          <w:tcPr>
            <w:tcW w:w="3284"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8C48F3" w:rsidP="0044662C">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Н.А.Фомина</w:t>
            </w:r>
            <w:r w:rsidR="00BC5FCD" w:rsidRPr="00BC5FCD">
              <w:rPr>
                <w:rFonts w:ascii="Times New Roman" w:eastAsia="Times New Roman" w:hAnsi="Times New Roman" w:cs="Times New Roman"/>
                <w:color w:val="auto"/>
                <w:sz w:val="28"/>
                <w:szCs w:val="28"/>
                <w:lang w:eastAsia="en-US" w:bidi="ar-SA"/>
              </w:rPr>
              <w:t xml:space="preserve">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8C48F3" w:rsidP="0044662C">
      <w:pPr>
        <w:widowControl/>
        <w:ind w:firstLine="709"/>
        <w:jc w:val="right"/>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t>Алексеевского</w:t>
      </w:r>
      <w:r w:rsidR="00BC5FCD"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«__»__________2023 г. № ___</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8C48F3" w:rsidRPr="008C48F3">
        <w:rPr>
          <w:i w:val="0"/>
          <w:sz w:val="28"/>
          <w:szCs w:val="28"/>
        </w:rPr>
        <w:t>Алексеевского</w:t>
      </w:r>
      <w:r w:rsidR="00BC5FCD" w:rsidRPr="0044662C">
        <w:rPr>
          <w:i w:val="0"/>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8C48F3">
        <w:t>Алексеевского</w:t>
      </w:r>
      <w:r w:rsidRPr="0044662C">
        <w:t xml:space="preserve"> 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8C48F3">
        <w:rPr>
          <w:rFonts w:ascii="Times New Roman" w:hAnsi="Times New Roman"/>
          <w:sz w:val="28"/>
          <w:szCs w:val="28"/>
        </w:rPr>
        <w:t>Алексеевского</w:t>
      </w:r>
      <w:r w:rsidR="00BC5FCD" w:rsidRPr="0044662C">
        <w:rPr>
          <w:rFonts w:ascii="Times New Roman" w:hAnsi="Times New Roman"/>
          <w:sz w:val="28"/>
          <w:szCs w:val="28"/>
        </w:rPr>
        <w:t xml:space="preserve"> 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w:t>
      </w:r>
      <w:r w:rsidRPr="0044662C">
        <w:rPr>
          <w:rFonts w:ascii="Times New Roman" w:eastAsiaTheme="minorHAnsi" w:hAnsi="Times New Roman" w:cs="Times New Roman"/>
          <w:color w:val="auto"/>
          <w:sz w:val="28"/>
          <w:szCs w:val="28"/>
          <w:lang w:eastAsia="en-US"/>
        </w:rPr>
        <w:lastRenderedPageBreak/>
        <w:t>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w:t>
      </w:r>
      <w:proofErr w:type="gramStart"/>
      <w:r w:rsidR="00A505B7" w:rsidRPr="0044662C">
        <w:rPr>
          <w:rFonts w:ascii="Times New Roman" w:eastAsiaTheme="minorHAnsi" w:hAnsi="Times New Roman"/>
          <w:sz w:val="28"/>
          <w:szCs w:val="28"/>
        </w:rPr>
        <w:t>более несовершеннолетних</w:t>
      </w:r>
      <w:proofErr w:type="gramEnd"/>
      <w:r w:rsidR="00A505B7" w:rsidRPr="0044662C">
        <w:rPr>
          <w:rFonts w:ascii="Times New Roman" w:eastAsiaTheme="minorHAnsi" w:hAnsi="Times New Roman"/>
          <w:sz w:val="28"/>
          <w:szCs w:val="28"/>
        </w:rPr>
        <w:t xml:space="preserve">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xml:space="preserve">) граждане, переехавшие на постоянное место жительства в сельскую местность и занятые в сфере сельскохозяйственного производства, </w:t>
      </w:r>
      <w:r w:rsidRPr="0044662C">
        <w:rPr>
          <w:rFonts w:ascii="Times New Roman" w:eastAsiaTheme="minorHAnsi" w:hAnsi="Times New Roman"/>
          <w:sz w:val="28"/>
          <w:szCs w:val="28"/>
        </w:rPr>
        <w:lastRenderedPageBreak/>
        <w:t>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8C48F3">
        <w:rPr>
          <w:rFonts w:ascii="Times New Roman" w:hAnsi="Times New Roman" w:cs="Times New Roman"/>
          <w:color w:val="auto"/>
          <w:sz w:val="28"/>
          <w:szCs w:val="28"/>
        </w:rPr>
        <w:t>Алексеевского</w:t>
      </w:r>
      <w:r w:rsidR="00503DEF"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Администрации (http://</w:t>
      </w:r>
      <w:proofErr w:type="spellStart"/>
      <w:r w:rsidR="008C48F3">
        <w:rPr>
          <w:rFonts w:ascii="Times New Roman" w:hAnsi="Times New Roman" w:cs="Times New Roman"/>
          <w:color w:val="auto"/>
          <w:spacing w:val="7"/>
          <w:sz w:val="28"/>
          <w:szCs w:val="28"/>
          <w:lang w:val="en-US"/>
        </w:rPr>
        <w:t>alex</w:t>
      </w:r>
      <w:proofErr w:type="spellEnd"/>
      <w:r w:rsidR="008C48F3" w:rsidRPr="008C48F3">
        <w:rPr>
          <w:rFonts w:ascii="Times New Roman" w:hAnsi="Times New Roman" w:cs="Times New Roman"/>
          <w:color w:val="auto"/>
          <w:spacing w:val="7"/>
          <w:sz w:val="28"/>
          <w:szCs w:val="28"/>
        </w:rPr>
        <w:t>-</w:t>
      </w:r>
      <w:proofErr w:type="spellStart"/>
      <w:r w:rsidR="008C48F3">
        <w:rPr>
          <w:rFonts w:ascii="Times New Roman" w:hAnsi="Times New Roman" w:cs="Times New Roman"/>
          <w:color w:val="auto"/>
          <w:spacing w:val="7"/>
          <w:sz w:val="28"/>
          <w:szCs w:val="28"/>
          <w:lang w:val="en-US"/>
        </w:rPr>
        <w:t>griban</w:t>
      </w:r>
      <w:proofErr w:type="spellEnd"/>
      <w:r w:rsidR="008C48F3" w:rsidRPr="008C48F3">
        <w:rPr>
          <w:rFonts w:ascii="Times New Roman" w:hAnsi="Times New Roman" w:cs="Times New Roman"/>
          <w:color w:val="auto"/>
          <w:spacing w:val="7"/>
          <w:sz w:val="28"/>
          <w:szCs w:val="28"/>
        </w:rPr>
        <w:t>.</w:t>
      </w:r>
      <w:proofErr w:type="spellStart"/>
      <w:r w:rsidR="008C48F3">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lastRenderedPageBreak/>
        <w:t>(далее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«Портал Воронежской области в сети Интернет», расположенной в сети Интернет по адресу</w:t>
      </w:r>
      <w:proofErr w:type="gramEnd"/>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е) информация о праве на досудебное (внесудебное) обжалование </w:t>
      </w:r>
      <w:r w:rsidRPr="0044662C">
        <w:rPr>
          <w:rFonts w:ascii="Times New Roman" w:hAnsi="Times New Roman" w:cs="Times New Roman"/>
          <w:color w:val="auto"/>
          <w:spacing w:val="7"/>
          <w:sz w:val="28"/>
          <w:szCs w:val="28"/>
        </w:rPr>
        <w:lastRenderedPageBreak/>
        <w:t>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44662C">
        <w:rPr>
          <w:rFonts w:ascii="Times New Roman" w:hAnsi="Times New Roman" w:cs="Times New Roman"/>
          <w:color w:val="auto"/>
          <w:spacing w:val="7"/>
          <w:sz w:val="28"/>
          <w:szCs w:val="28"/>
        </w:rPr>
        <w:t>произносят слова четко и не прерывают</w:t>
      </w:r>
      <w:proofErr w:type="gramEnd"/>
      <w:r w:rsidRPr="0044662C">
        <w:rPr>
          <w:rFonts w:ascii="Times New Roman" w:hAnsi="Times New Roman" w:cs="Times New Roman"/>
          <w:color w:val="auto"/>
          <w:spacing w:val="7"/>
          <w:sz w:val="28"/>
          <w:szCs w:val="28"/>
        </w:rPr>
        <w:t xml:space="preserve">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3.10 Администрация </w:t>
      </w:r>
      <w:proofErr w:type="gramStart"/>
      <w:r w:rsidRPr="0044662C">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44662C">
        <w:rPr>
          <w:rFonts w:ascii="Times New Roman" w:hAnsi="Times New Roman" w:cs="Times New Roman"/>
          <w:color w:val="auto"/>
          <w:spacing w:val="7"/>
          <w:sz w:val="28"/>
          <w:szCs w:val="28"/>
        </w:rPr>
        <w:t xml:space="preserve">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008C48F3">
        <w:t>Алексеевского</w:t>
      </w:r>
      <w:r w:rsidRPr="0044662C">
        <w:t xml:space="preserve"> 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r w:rsidR="008C48F3">
        <w:t>Алексеевского</w:t>
      </w:r>
      <w:r w:rsidR="00DD7C42" w:rsidRPr="0044662C">
        <w:t xml:space="preserve"> 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w:t>
      </w:r>
      <w:proofErr w:type="gramStart"/>
      <w:r w:rsidR="00DD7C42" w:rsidRPr="0044662C">
        <w:t xml:space="preserve">являются необходимыми и обязательными для предоставления администрацией </w:t>
      </w:r>
      <w:r w:rsidR="008C48F3">
        <w:t>Алексеевского</w:t>
      </w:r>
      <w:r w:rsidR="00DD7C42" w:rsidRPr="0044662C">
        <w:t xml:space="preserve"> сельского поселения Грибановского муниципального района Воронежской области муниципальных услуг и предоставляются</w:t>
      </w:r>
      <w:proofErr w:type="gramEnd"/>
      <w:r w:rsidR="00DD7C42" w:rsidRPr="0044662C">
        <w:t xml:space="preserve">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8C48F3">
        <w:t>Алексеевского</w:t>
      </w:r>
      <w:r w:rsidR="00DD7C42" w:rsidRPr="0044662C">
        <w:t xml:space="preserve">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 xml:space="preserve">для </w:t>
      </w:r>
      <w:r w:rsidR="009A3E35" w:rsidRPr="0044662C">
        <w:rPr>
          <w:rFonts w:eastAsia="Calibri"/>
        </w:rPr>
        <w:lastRenderedPageBreak/>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егламенты» раздела «Муниципальные услуги» по адресу http://</w:t>
      </w:r>
      <w:proofErr w:type="spellStart"/>
      <w:r w:rsidR="008C48F3">
        <w:rPr>
          <w:sz w:val="28"/>
          <w:szCs w:val="28"/>
          <w:lang w:val="en-US"/>
        </w:rPr>
        <w:t>alex</w:t>
      </w:r>
      <w:proofErr w:type="spellEnd"/>
      <w:r w:rsidR="008C48F3" w:rsidRPr="008C48F3">
        <w:rPr>
          <w:sz w:val="28"/>
          <w:szCs w:val="28"/>
        </w:rPr>
        <w:t>-</w:t>
      </w:r>
      <w:proofErr w:type="spellStart"/>
      <w:r w:rsidR="008C48F3">
        <w:rPr>
          <w:sz w:val="28"/>
          <w:szCs w:val="28"/>
          <w:lang w:val="en-US"/>
        </w:rPr>
        <w:t>griban</w:t>
      </w:r>
      <w:proofErr w:type="spellEnd"/>
      <w:r w:rsidR="008C48F3" w:rsidRPr="008C48F3">
        <w:rPr>
          <w:sz w:val="28"/>
          <w:szCs w:val="28"/>
        </w:rPr>
        <w:t>.</w:t>
      </w:r>
      <w:proofErr w:type="spellStart"/>
      <w:r w:rsidR="008C48F3">
        <w:rPr>
          <w:sz w:val="28"/>
          <w:szCs w:val="28"/>
          <w:lang w:val="en-US"/>
        </w:rPr>
        <w:t>ru</w:t>
      </w:r>
      <w:proofErr w:type="spellEnd"/>
      <w:r w:rsidR="00905BFC" w:rsidRPr="0044662C">
        <w:rPr>
          <w:sz w:val="28"/>
          <w:szCs w:val="28"/>
        </w:rPr>
        <w:t>.</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w:t>
      </w:r>
      <w:r w:rsidR="007C4D81" w:rsidRPr="0044662C">
        <w:rPr>
          <w:rFonts w:ascii="Times New Roman" w:eastAsiaTheme="minorHAnsi" w:hAnsi="Times New Roman" w:cs="Times New Roman"/>
          <w:color w:val="auto"/>
          <w:sz w:val="28"/>
          <w:szCs w:val="28"/>
          <w:lang w:eastAsia="en-US" w:bidi="ar-SA"/>
        </w:rPr>
        <w:lastRenderedPageBreak/>
        <w:t xml:space="preserve">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lastRenderedPageBreak/>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w:t>
      </w:r>
      <w:proofErr w:type="gramStart"/>
      <w:r w:rsidRPr="0044662C">
        <w:rPr>
          <w:rFonts w:ascii="Times New Roman" w:eastAsiaTheme="minorHAnsi" w:hAnsi="Times New Roman" w:cs="Times New Roman"/>
          <w:color w:val="auto"/>
          <w:sz w:val="28"/>
          <w:szCs w:val="28"/>
          <w:lang w:eastAsia="en-US" w:bidi="ar-SA"/>
        </w:rPr>
        <w:t>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roofErr w:type="gramEnd"/>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w:t>
      </w:r>
      <w:r w:rsidRPr="0044662C">
        <w:rPr>
          <w:rFonts w:ascii="Times New Roman" w:hAnsi="Times New Roman" w:cs="Times New Roman"/>
          <w:bCs/>
          <w:color w:val="auto"/>
          <w:sz w:val="28"/>
          <w:szCs w:val="28"/>
        </w:rPr>
        <w:lastRenderedPageBreak/>
        <w:t xml:space="preserve">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w:t>
      </w:r>
      <w:r w:rsidRPr="0044662C">
        <w:rPr>
          <w:rFonts w:ascii="Times New Roman" w:eastAsia="Calibri" w:hAnsi="Times New Roman" w:cs="Times New Roman"/>
          <w:color w:val="auto"/>
          <w:sz w:val="28"/>
          <w:szCs w:val="28"/>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w:t>
      </w:r>
      <w:r w:rsidR="00F324FA" w:rsidRPr="0044662C">
        <w:rPr>
          <w:rFonts w:ascii="Times New Roman" w:hAnsi="Times New Roman" w:cs="Times New Roman"/>
          <w:bCs/>
          <w:color w:val="auto"/>
          <w:sz w:val="28"/>
          <w:szCs w:val="28"/>
        </w:rPr>
        <w:lastRenderedPageBreak/>
        <w:t>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8C48F3" w:rsidRDefault="00DD7C42" w:rsidP="008C48F3">
      <w:pPr>
        <w:widowControl/>
        <w:ind w:firstLine="709"/>
        <w:jc w:val="both"/>
        <w:rPr>
          <w:rFonts w:ascii="Times New Roman" w:hAnsi="Times New Roman" w:cs="Times New Roman"/>
          <w:iCs/>
          <w:color w:val="auto"/>
          <w:spacing w:val="1"/>
          <w:sz w:val="28"/>
          <w:szCs w:val="28"/>
          <w:lang w:val="en-US"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lastRenderedPageBreak/>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 отсутствие обоснованных жалоб со стороны граждан по результатам </w:t>
      </w:r>
      <w:r w:rsidRPr="0044662C">
        <w:rPr>
          <w:rFonts w:ascii="Times New Roman" w:hAnsi="Times New Roman" w:cs="Times New Roman"/>
          <w:color w:val="auto"/>
          <w:sz w:val="28"/>
          <w:szCs w:val="28"/>
        </w:rPr>
        <w:lastRenderedPageBreak/>
        <w:t>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spellStart"/>
      <w:r w:rsidRPr="0044662C">
        <w:rPr>
          <w:rFonts w:ascii="Times New Roman" w:hAnsi="Times New Roman" w:cs="Times New Roman"/>
          <w:color w:val="auto"/>
          <w:sz w:val="28"/>
          <w:szCs w:val="28"/>
          <w:lang w:val="en-US"/>
        </w:rPr>
        <w:t>pdf</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18.13. В соответствии с частью 1.1 статьи 16 Федерального закона № 210-</w:t>
      </w:r>
      <w:r w:rsidRPr="0044662C">
        <w:rPr>
          <w:rFonts w:ascii="Times New Roman" w:hAnsi="Times New Roman" w:cs="Times New Roman"/>
          <w:color w:val="auto"/>
          <w:sz w:val="28"/>
          <w:szCs w:val="28"/>
        </w:rPr>
        <w:lastRenderedPageBreak/>
        <w:t xml:space="preserve">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8C48F3"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 xml:space="preserve">Состав, последовательность и сроки выполнения </w:t>
      </w:r>
      <w:r w:rsidR="00723F63" w:rsidRPr="0044662C">
        <w:rPr>
          <w:rFonts w:eastAsiaTheme="minorHAnsi"/>
        </w:rPr>
        <w:lastRenderedPageBreak/>
        <w:t>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lastRenderedPageBreak/>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xml:space="preserve">, уполномоченное на прием документов, </w:t>
      </w:r>
      <w:proofErr w:type="gramStart"/>
      <w:r w:rsidR="00CD6F3C" w:rsidRPr="0044662C">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44662C">
        <w:rPr>
          <w:rFonts w:ascii="Times New Roman" w:hAnsi="Times New Roman" w:cs="Times New Roman"/>
          <w:color w:val="auto"/>
          <w:sz w:val="28"/>
          <w:szCs w:val="28"/>
        </w:rPr>
        <w:t xml:space="preserve">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lastRenderedPageBreak/>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 xml:space="preserve">Специалист </w:t>
      </w:r>
      <w:proofErr w:type="gramStart"/>
      <w:r w:rsidR="00CD6F3C" w:rsidRPr="0044662C">
        <w:rPr>
          <w:rFonts w:ascii="Times New Roman" w:hAnsi="Times New Roman"/>
          <w:bCs/>
          <w:sz w:val="28"/>
          <w:szCs w:val="28"/>
        </w:rPr>
        <w:t>проверяет комплектность представленных документов и определяет</w:t>
      </w:r>
      <w:proofErr w:type="gramEnd"/>
      <w:r w:rsidR="00CD6F3C" w:rsidRPr="0044662C">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w:t>
      </w:r>
      <w:proofErr w:type="gramStart"/>
      <w:r w:rsidRPr="0044662C">
        <w:rPr>
          <w:rFonts w:ascii="Times New Roman" w:hAnsi="Times New Roman" w:cs="Times New Roman"/>
          <w:color w:val="auto"/>
          <w:sz w:val="28"/>
          <w:szCs w:val="28"/>
        </w:rPr>
        <w:t>формируется и направляется</w:t>
      </w:r>
      <w:proofErr w:type="gramEnd"/>
      <w:r w:rsidRPr="0044662C">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44662C">
        <w:rPr>
          <w:rFonts w:ascii="Times New Roman" w:hAnsi="Times New Roman" w:cs="Times New Roman"/>
          <w:color w:val="auto"/>
          <w:sz w:val="28"/>
          <w:szCs w:val="28"/>
        </w:rPr>
        <w:lastRenderedPageBreak/>
        <w:t xml:space="preserve">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w:t>
      </w:r>
      <w:proofErr w:type="gramStart"/>
      <w:r w:rsidRPr="0044662C">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44662C">
        <w:rPr>
          <w:rFonts w:ascii="Times New Roman" w:hAnsi="Times New Roman" w:cs="Times New Roman"/>
          <w:color w:val="auto"/>
          <w:sz w:val="28"/>
          <w:szCs w:val="28"/>
        </w:rPr>
        <w:t xml:space="preserve">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 xml:space="preserve">После получения информации по межведомственным запросам </w:t>
      </w:r>
      <w:r w:rsidR="00CD6F3C" w:rsidRPr="0044662C">
        <w:rPr>
          <w:rFonts w:ascii="Times New Roman" w:hAnsi="Times New Roman" w:cs="Times New Roman"/>
          <w:color w:val="auto"/>
          <w:sz w:val="28"/>
          <w:szCs w:val="28"/>
        </w:rPr>
        <w:lastRenderedPageBreak/>
        <w:t>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8C48F3">
        <w:rPr>
          <w:rFonts w:ascii="Times New Roman" w:hAnsi="Times New Roman" w:cs="Times New Roman"/>
          <w:color w:val="auto"/>
          <w:sz w:val="28"/>
          <w:szCs w:val="28"/>
        </w:rPr>
        <w:t>Алексеевского</w:t>
      </w:r>
      <w:r w:rsidR="0044662C"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w:t>
      </w:r>
      <w:r w:rsidRPr="0044662C">
        <w:rPr>
          <w:rFonts w:ascii="Times New Roman" w:hAnsi="Times New Roman" w:cs="Times New Roman"/>
          <w:sz w:val="28"/>
          <w:szCs w:val="28"/>
        </w:rPr>
        <w:lastRenderedPageBreak/>
        <w:t>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 xml:space="preserve">об исправлении опечаток и (или) ошибок в выданных в результате предоставления Муниципальной услуги </w:t>
      </w:r>
      <w:r w:rsidR="00B377BE" w:rsidRPr="0044662C">
        <w:rPr>
          <w:rFonts w:eastAsiaTheme="minorHAnsi"/>
        </w:rPr>
        <w:lastRenderedPageBreak/>
        <w:t>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.7. Основанием для отказа в выдаче дубликата является обращение за </w:t>
      </w:r>
      <w:r w:rsidRPr="0044662C">
        <w:rPr>
          <w:bCs/>
        </w:rPr>
        <w:lastRenderedPageBreak/>
        <w:t>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w:t>
      </w:r>
      <w:proofErr w:type="gramStart"/>
      <w:r w:rsidR="00034CBF" w:rsidRPr="0044662C">
        <w:t>контроль за</w:t>
      </w:r>
      <w:proofErr w:type="gramEnd"/>
      <w:r w:rsidR="00034CBF" w:rsidRPr="0044662C">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15596A" w:rsidRPr="008C48F3" w:rsidRDefault="00D91C5A" w:rsidP="008C48F3">
      <w:pPr>
        <w:pStyle w:val="11"/>
        <w:tabs>
          <w:tab w:val="left" w:pos="0"/>
        </w:tabs>
        <w:ind w:firstLine="709"/>
        <w:jc w:val="both"/>
      </w:pPr>
      <w:r w:rsidRPr="0044662C">
        <w:t>26.3.</w:t>
      </w:r>
      <w:r w:rsidR="00034CBF" w:rsidRPr="0044662C">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w:t>
      </w:r>
      <w:r w:rsidR="00034CBF" w:rsidRPr="0044662C">
        <w:lastRenderedPageBreak/>
        <w:t>содержащие жалобы на решения, действия (бездействие) должностных лиц.</w:t>
      </w: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C48F3">
        <w:t>Алексеевского</w:t>
      </w:r>
      <w:r w:rsidR="0044662C" w:rsidRPr="0044662C">
        <w:t xml:space="preserve"> 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C48F3">
        <w:rPr>
          <w:sz w:val="28"/>
          <w:szCs w:val="28"/>
        </w:rPr>
        <w:t>Алексеевского</w:t>
      </w:r>
      <w:r w:rsidR="0044662C" w:rsidRPr="0044662C">
        <w:rPr>
          <w:sz w:val="28"/>
          <w:szCs w:val="28"/>
        </w:rPr>
        <w:t xml:space="preserve"> 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bookmarkStart w:id="0" w:name="_GoBack"/>
      <w:bookmarkEnd w:id="0"/>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w:t>
      </w:r>
      <w:r w:rsidR="00034CBF" w:rsidRPr="0044662C">
        <w:rPr>
          <w:rFonts w:eastAsiaTheme="minorHAnsi"/>
        </w:rPr>
        <w:lastRenderedPageBreak/>
        <w:t>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lastRenderedPageBreak/>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lastRenderedPageBreak/>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44662C">
        <w:rPr>
          <w:rFonts w:ascii="Times New Roman" w:hAnsi="Times New Roman" w:cs="Times New Roman"/>
          <w:color w:val="auto"/>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w:t>
      </w:r>
      <w:proofErr w:type="gramStart"/>
      <w:r w:rsidR="00990048" w:rsidRPr="0044662C">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8C48F3" w:rsidRDefault="001D18EE" w:rsidP="008C48F3">
      <w:pPr>
        <w:ind w:firstLine="709"/>
        <w:jc w:val="both"/>
        <w:rPr>
          <w:rFonts w:ascii="Times New Roman" w:hAnsi="Times New Roman" w:cs="Times New Roman"/>
          <w:color w:val="auto"/>
          <w:sz w:val="28"/>
          <w:szCs w:val="28"/>
          <w:lang w:val="en-US"/>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8C48F3" w:rsidRDefault="00990048" w:rsidP="008C48F3">
      <w:pPr>
        <w:pStyle w:val="2"/>
        <w:spacing w:before="0"/>
        <w:ind w:firstLine="709"/>
        <w:jc w:val="both"/>
        <w:rPr>
          <w:rFonts w:ascii="Times New Roman" w:hAnsi="Times New Roman" w:cs="Times New Roman"/>
          <w:b w:val="0"/>
          <w:color w:val="auto"/>
          <w:sz w:val="28"/>
          <w:szCs w:val="28"/>
          <w:lang w:val="en-US"/>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го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8"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го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8C48F3">
          <w:headerReference w:type="even" r:id="rId9"/>
          <w:headerReference w:type="default" r:id="rId10"/>
          <w:headerReference w:type="first" r:id="rId11"/>
          <w:pgSz w:w="11900" w:h="16840"/>
          <w:pgMar w:top="993" w:right="567"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2"/>
      <w:pgSz w:w="11900" w:h="16840"/>
      <w:pgMar w:top="184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F32" w:rsidRDefault="006A2F32">
      <w:r>
        <w:separator/>
      </w:r>
    </w:p>
  </w:endnote>
  <w:endnote w:type="continuationSeparator" w:id="0">
    <w:p w:rsidR="006A2F32" w:rsidRDefault="006A2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F32" w:rsidRDefault="006A2F32">
      <w:r>
        <w:separator/>
      </w:r>
    </w:p>
  </w:footnote>
  <w:footnote w:type="continuationSeparator" w:id="0">
    <w:p w:rsidR="006A2F32" w:rsidRDefault="006A2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68" w:rsidRDefault="005C2A68">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68" w:rsidRDefault="005C2A68">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68" w:rsidRDefault="005C2A68">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5C2A68" w:rsidRDefault="005F3FE1">
        <w:pPr>
          <w:pStyle w:val="af0"/>
          <w:jc w:val="center"/>
        </w:pPr>
        <w:r>
          <w:fldChar w:fldCharType="begin"/>
        </w:r>
        <w:r w:rsidR="005C2A68">
          <w:instrText>PAGE   \* MERGEFORMAT</w:instrText>
        </w:r>
        <w:r>
          <w:fldChar w:fldCharType="separate"/>
        </w:r>
        <w:r w:rsidR="008C48F3">
          <w:rPr>
            <w:noProof/>
          </w:rPr>
          <w:t>2</w:t>
        </w:r>
        <w:r>
          <w:rPr>
            <w:noProof/>
          </w:rPr>
          <w:fldChar w:fldCharType="end"/>
        </w:r>
      </w:p>
    </w:sdtContent>
  </w:sdt>
  <w:p w:rsidR="005C2A68" w:rsidRDefault="005C2A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6A55A5"/>
    <w:rsid w:val="00000FBF"/>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F6E0F"/>
    <w:rsid w:val="0040704D"/>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5F3FE1"/>
    <w:rsid w:val="006120FB"/>
    <w:rsid w:val="00613A70"/>
    <w:rsid w:val="0063717F"/>
    <w:rsid w:val="0065069D"/>
    <w:rsid w:val="006A2F32"/>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C48F3"/>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35AA"/>
    <w:rsid w:val="00F30B32"/>
    <w:rsid w:val="00F324FA"/>
    <w:rsid w:val="00F41BD5"/>
    <w:rsid w:val="00F72E7B"/>
    <w:rsid w:val="00F769A4"/>
    <w:rsid w:val="00F85161"/>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F4E1-239A-40F6-A99D-502EC199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14758</Words>
  <Characters>84124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PC</cp:lastModifiedBy>
  <cp:revision>17</cp:revision>
  <cp:lastPrinted>2023-07-19T08:44:00Z</cp:lastPrinted>
  <dcterms:created xsi:type="dcterms:W3CDTF">2023-07-19T09:00:00Z</dcterms:created>
  <dcterms:modified xsi:type="dcterms:W3CDTF">2023-09-11T11:31:00Z</dcterms:modified>
</cp:coreProperties>
</file>