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DE3398" w:rsidRPr="002E129D" w:rsidRDefault="001342AB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АЛЕКСЕЕВСКОГО </w:t>
      </w:r>
      <w:r w:rsidR="00DE3398" w:rsidRPr="002E129D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DE3398" w:rsidRPr="002E129D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Р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от </w:t>
      </w:r>
      <w:r w:rsidR="00E95D2B">
        <w:rPr>
          <w:rFonts w:ascii="Times New Roman" w:hAnsi="Times New Roman"/>
          <w:sz w:val="28"/>
          <w:szCs w:val="28"/>
        </w:rPr>
        <w:t>02.11</w:t>
      </w:r>
      <w:r w:rsidRPr="002E129D">
        <w:rPr>
          <w:rFonts w:ascii="Times New Roman" w:hAnsi="Times New Roman"/>
          <w:sz w:val="28"/>
          <w:szCs w:val="28"/>
        </w:rPr>
        <w:t xml:space="preserve">.2022 № </w:t>
      </w:r>
      <w:r w:rsidR="001342AB">
        <w:rPr>
          <w:rFonts w:ascii="Times New Roman" w:hAnsi="Times New Roman"/>
          <w:sz w:val="28"/>
          <w:szCs w:val="28"/>
        </w:rPr>
        <w:t>91</w:t>
      </w: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с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. </w:t>
      </w:r>
      <w:r w:rsidR="001342AB">
        <w:rPr>
          <w:rFonts w:ascii="Times New Roman" w:hAnsi="Times New Roman"/>
          <w:sz w:val="28"/>
          <w:szCs w:val="28"/>
        </w:rPr>
        <w:t>Алексеевка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342AB">
        <w:rPr>
          <w:rFonts w:ascii="Times New Roman" w:hAnsi="Times New Roman" w:cs="Times New Roman"/>
          <w:b w:val="0"/>
          <w:sz w:val="28"/>
          <w:szCs w:val="28"/>
        </w:rPr>
        <w:t>Алексеевском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342AB">
        <w:rPr>
          <w:rFonts w:ascii="Times New Roman" w:hAnsi="Times New Roman"/>
          <w:sz w:val="28"/>
          <w:szCs w:val="28"/>
        </w:rPr>
        <w:t>Алексеевском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="001342AB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9" w:type="dxa"/>
        <w:tblLook w:val="04A0"/>
      </w:tblPr>
      <w:tblGrid>
        <w:gridCol w:w="3190"/>
        <w:gridCol w:w="2798"/>
        <w:gridCol w:w="2551"/>
      </w:tblGrid>
      <w:tr w:rsidR="00DE3398" w:rsidRPr="002E129D" w:rsidTr="00DE3398">
        <w:tc>
          <w:tcPr>
            <w:tcW w:w="3190" w:type="dxa"/>
            <w:hideMark/>
          </w:tcPr>
          <w:p w:rsidR="00DE3398" w:rsidRPr="002E129D" w:rsidRDefault="00DE3398" w:rsidP="00DE3398">
            <w:pPr>
              <w:tabs>
                <w:tab w:val="left" w:pos="1950"/>
              </w:tabs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DE3398" w:rsidRPr="002E129D" w:rsidRDefault="00DE3398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798" w:type="dxa"/>
          </w:tcPr>
          <w:p w:rsidR="00DE3398" w:rsidRPr="002E129D" w:rsidRDefault="001342AB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551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3398" w:rsidRPr="002E129D" w:rsidRDefault="001342AB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Н.А.Фомина</w:t>
            </w:r>
          </w:p>
        </w:tc>
      </w:tr>
    </w:tbl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8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1342AB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E95D2B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02.11</w:t>
      </w:r>
      <w:r w:rsidR="001342AB">
        <w:rPr>
          <w:rFonts w:ascii="Times New Roman" w:hAnsi="Times New Roman"/>
          <w:color w:val="000000"/>
          <w:sz w:val="28"/>
          <w:szCs w:val="28"/>
        </w:rPr>
        <w:t>.2022г. №  91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342AB">
        <w:rPr>
          <w:rFonts w:ascii="Times New Roman" w:hAnsi="Times New Roman"/>
          <w:sz w:val="28"/>
          <w:szCs w:val="28"/>
        </w:rPr>
        <w:t xml:space="preserve">АЛЕКСЕЕВСКОМ 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="001342AB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r w:rsidR="001342AB">
        <w:rPr>
          <w:rFonts w:ascii="Times New Roman" w:hAnsi="Times New Roman"/>
          <w:sz w:val="28"/>
          <w:szCs w:val="28"/>
        </w:rPr>
        <w:t>Алексеевском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 w:rsidRPr="002E129D">
        <w:rPr>
          <w:rFonts w:ascii="Times New Roman" w:hAnsi="Times New Roman"/>
          <w:sz w:val="28"/>
          <w:szCs w:val="28"/>
        </w:rPr>
        <w:lastRenderedPageBreak/>
        <w:t>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="001342AB" w:rsidRPr="002E129D">
        <w:rPr>
          <w:rFonts w:ascii="Times New Roman" w:hAnsi="Times New Roman"/>
          <w:sz w:val="28"/>
          <w:szCs w:val="28"/>
        </w:rPr>
        <w:t xml:space="preserve"> </w:t>
      </w:r>
      <w:r w:rsidR="002E129D" w:rsidRPr="002E129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bookmarkStart w:id="0" w:name="_GoBack"/>
      <w:bookmarkEnd w:id="0"/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</w:t>
      </w:r>
      <w:r w:rsidRPr="002E129D">
        <w:rPr>
          <w:rFonts w:ascii="Times New Roman" w:hAnsi="Times New Roman"/>
          <w:sz w:val="28"/>
          <w:szCs w:val="28"/>
        </w:rPr>
        <w:lastRenderedPageBreak/>
        <w:t>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="001342AB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Постановление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proofErr w:type="spellStart"/>
      <w:r w:rsidR="001342AB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1342AB" w:rsidRPr="001342AB">
        <w:rPr>
          <w:rFonts w:ascii="Times New Roman" w:hAnsi="Times New Roman"/>
          <w:sz w:val="28"/>
          <w:szCs w:val="28"/>
        </w:rPr>
        <w:t>-</w:t>
      </w:r>
      <w:proofErr w:type="spellStart"/>
      <w:r w:rsidR="001342AB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1342AB" w:rsidRPr="001342AB">
        <w:rPr>
          <w:rFonts w:ascii="Times New Roman" w:hAnsi="Times New Roman"/>
          <w:sz w:val="28"/>
          <w:szCs w:val="28"/>
        </w:rPr>
        <w:t>.</w:t>
      </w:r>
      <w:proofErr w:type="spellStart"/>
      <w:r w:rsidR="001342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129D">
        <w:rPr>
          <w:rFonts w:ascii="Times New Roman" w:hAnsi="Times New Roman"/>
          <w:sz w:val="28"/>
          <w:szCs w:val="28"/>
        </w:rPr>
        <w:t>),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окончания периода размещения проекта муниципального правового акта в соответствии со статьей 8 настоящего Положения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подготавливает и оформляет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5) аргументированные рекомендации организатора публичных слушаний или общественных обсуждений о целесообразности или нецелесообразности </w:t>
      </w:r>
      <w:r w:rsidRPr="002E129D">
        <w:rPr>
          <w:rFonts w:ascii="Times New Roman" w:hAnsi="Times New Roman"/>
          <w:sz w:val="28"/>
          <w:szCs w:val="28"/>
        </w:rPr>
        <w:lastRenderedPageBreak/>
        <w:t>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1342AB">
        <w:rPr>
          <w:rFonts w:ascii="Times New Roman" w:hAnsi="Times New Roman"/>
          <w:sz w:val="28"/>
          <w:szCs w:val="28"/>
        </w:rPr>
        <w:t>Алексеевского</w:t>
      </w:r>
      <w:r w:rsidR="001342AB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r w:rsidR="001342AB">
        <w:rPr>
          <w:rFonts w:ascii="Times New Roman" w:hAnsi="Times New Roman"/>
          <w:sz w:val="28"/>
          <w:szCs w:val="28"/>
        </w:rPr>
        <w:t>Алексеевском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1342AB">
        <w:rPr>
          <w:rFonts w:ascii="Times New Roman" w:hAnsi="Times New Roman" w:cs="Times New Roman"/>
          <w:sz w:val="28"/>
          <w:szCs w:val="28"/>
        </w:rPr>
        <w:t>Алексеевском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1342AB"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области(</w:t>
            </w:r>
            <w:r w:rsidR="003D1709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1342AB">
        <w:rPr>
          <w:rFonts w:ascii="Times New Roman" w:hAnsi="Times New Roman"/>
          <w:sz w:val="28"/>
          <w:szCs w:val="28"/>
        </w:rPr>
        <w:t>Алексеевском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2E129D" w:rsidTr="00DE3398">
        <w:tc>
          <w:tcPr>
            <w:tcW w:w="4672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 20__ - "__" _______ 20__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2E129D" w:rsidRDefault="00E95D2B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с.Алексеевка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1342AB">
        <w:rPr>
          <w:rFonts w:ascii="Times New Roman" w:hAnsi="Times New Roman"/>
          <w:sz w:val="28"/>
          <w:szCs w:val="28"/>
        </w:rPr>
        <w:t>Алексеевском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E95D2B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лексеевка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от участников публичных слушаний или общественных обсуждений,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1342AB">
        <w:rPr>
          <w:rFonts w:ascii="Times New Roman" w:hAnsi="Times New Roman"/>
          <w:sz w:val="28"/>
          <w:szCs w:val="28"/>
        </w:rPr>
        <w:t>Алексеевском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E95D2B" w:rsidP="00E95D2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Алексеевка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1342A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98" w:rsidRDefault="007A1E98" w:rsidP="00DE3398">
      <w:r>
        <w:separator/>
      </w:r>
    </w:p>
  </w:endnote>
  <w:endnote w:type="continuationSeparator" w:id="0">
    <w:p w:rsidR="007A1E98" w:rsidRDefault="007A1E98" w:rsidP="00DE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98" w:rsidRDefault="007A1E98" w:rsidP="00DE3398">
      <w:r>
        <w:separator/>
      </w:r>
    </w:p>
  </w:footnote>
  <w:footnote w:type="continuationSeparator" w:id="0">
    <w:p w:rsidR="007A1E98" w:rsidRDefault="007A1E98" w:rsidP="00DE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F5"/>
    <w:rsid w:val="000C7A98"/>
    <w:rsid w:val="000E19AD"/>
    <w:rsid w:val="001342AB"/>
    <w:rsid w:val="00164799"/>
    <w:rsid w:val="001B0893"/>
    <w:rsid w:val="00224508"/>
    <w:rsid w:val="002866E2"/>
    <w:rsid w:val="002E129D"/>
    <w:rsid w:val="003A1CAF"/>
    <w:rsid w:val="003D1709"/>
    <w:rsid w:val="003F10D5"/>
    <w:rsid w:val="004D51A7"/>
    <w:rsid w:val="004E05C0"/>
    <w:rsid w:val="006407B5"/>
    <w:rsid w:val="00651DD7"/>
    <w:rsid w:val="006B35F1"/>
    <w:rsid w:val="007A1E98"/>
    <w:rsid w:val="00A72003"/>
    <w:rsid w:val="00A75AF5"/>
    <w:rsid w:val="00AA4883"/>
    <w:rsid w:val="00B4778F"/>
    <w:rsid w:val="00C22A0C"/>
    <w:rsid w:val="00C91653"/>
    <w:rsid w:val="00DE3398"/>
    <w:rsid w:val="00E560D6"/>
    <w:rsid w:val="00E95D2B"/>
    <w:rsid w:val="00F06616"/>
    <w:rsid w:val="00F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932C-D362-4E47-A21A-EE21A6CE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310</TotalTime>
  <Pages>1</Pages>
  <Words>6444</Words>
  <Characters>36736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14</cp:revision>
  <dcterms:created xsi:type="dcterms:W3CDTF">2022-06-09T11:42:00Z</dcterms:created>
  <dcterms:modified xsi:type="dcterms:W3CDTF">2022-11-01T07:37:00Z</dcterms:modified>
</cp:coreProperties>
</file>